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312" w:lineRule="atLeast"/>
        <w:outlineLvl w:val="0"/>
        <w:rPr>
          <w:rFonts w:ascii="Helvetica" w:cs="Helvetica" w:hAnsi="Helvetica" w:eastAsia="Helvetica"/>
          <w:b w:val="1"/>
          <w:bCs w:val="1"/>
          <w:color w:val="005fa8"/>
          <w:kern w:val="36"/>
          <w:sz w:val="50"/>
          <w:szCs w:val="50"/>
          <w:u w:color="005fa8"/>
          <w:lang w:val="nl-NL"/>
        </w:rPr>
      </w:pPr>
      <w:r>
        <w:rPr>
          <w:rFonts w:ascii="Helvetica" w:hAnsi="Helvetica"/>
          <w:b w:val="1"/>
          <w:bCs w:val="1"/>
          <w:color w:val="005fa8"/>
          <w:kern w:val="36"/>
          <w:sz w:val="50"/>
          <w:szCs w:val="50"/>
          <w:u w:color="005fa8"/>
          <w:rtl w:val="0"/>
          <w:lang w:val="nl-NL"/>
        </w:rPr>
        <w:t>Zorgverzekering</w:t>
      </w:r>
    </w:p>
    <w:p>
      <w:pPr>
        <w:pStyle w:val="Normal.0"/>
        <w:spacing w:before="384" w:after="384" w:line="315" w:lineRule="atLeast"/>
        <w:rPr>
          <w:rStyle w:val="Geen"/>
          <w:rFonts w:ascii="Helvetica" w:cs="Helvetica" w:hAnsi="Helvetica" w:eastAsia="Helvetica"/>
          <w:color w:val="000000"/>
          <w:sz w:val="21"/>
          <w:szCs w:val="21"/>
          <w:u w:color="000000"/>
          <w:lang w:val="nl-NL"/>
        </w:rPr>
      </w:pPr>
      <w:r>
        <w:rPr>
          <w:rFonts w:ascii="Helvetica" w:hAnsi="Helvetica"/>
          <w:color w:val="000000"/>
          <w:sz w:val="21"/>
          <w:szCs w:val="21"/>
          <w:u w:color="000000"/>
          <w:rtl w:val="0"/>
          <w:lang w:val="nl-NL"/>
        </w:rPr>
        <w:t xml:space="preserve">In 2019 vergoeden de volgende verzekeraars NOAG therapeuten, er wordt binnen de verschillende verzekeringen onderscheid gemaakt tussen de Aa-licentie therapeuten (laag 4 van het gelaagd register en hoger) en de Ab-licentie therapeuten (laag 1 t/m 3 van het gelaagd register). Onze Aa-licentie therapeuten zijn in het bezit van een PLATO- erkende opleiding Medische Basiskennis. Onze Ab-licentie therapeuten zijn in het bezit van een medische basiskennis op hbo-niveau. </w:t>
      </w:r>
      <w:r>
        <w:rPr>
          <w:rStyle w:val="Hyperlink.0"/>
          <w:rFonts w:ascii="Times New Roman" w:cs="Times New Roman" w:hAnsi="Times New Roman" w:eastAsia="Times New Roman"/>
          <w:color w:val="225e9b"/>
          <w:sz w:val="21"/>
          <w:szCs w:val="21"/>
          <w:u w:color="225e9b"/>
          <w:lang w:val="nl-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225e9b"/>
          <w:sz w:val="21"/>
          <w:szCs w:val="21"/>
          <w:u w:color="225e9b"/>
          <w:lang w:val="nl-NL"/>
        </w:rPr>
        <w:instrText xml:space="preserve"> HYPERLINK "https://www.dropbox.com/s/z9xxfxa8cbs5p4c/Aa-therapeuten%2520PLATO%25202018%2520%25282%2529.pdf?dl=0"</w:instrText>
      </w:r>
      <w:r>
        <w:rPr>
          <w:rStyle w:val="Hyperlink.0"/>
          <w:rFonts w:ascii="Times New Roman" w:cs="Times New Roman" w:hAnsi="Times New Roman" w:eastAsia="Times New Roman"/>
          <w:color w:val="225e9b"/>
          <w:sz w:val="21"/>
          <w:szCs w:val="21"/>
          <w:u w:color="225e9b"/>
          <w:lang w:val="nl-NL"/>
        </w:rPr>
        <w:fldChar w:fldCharType="separate" w:fldLock="0"/>
      </w:r>
      <w:r>
        <w:rPr>
          <w:rStyle w:val="Hyperlink.0"/>
          <w:rFonts w:ascii="Times New Roman" w:hAnsi="Times New Roman"/>
          <w:color w:val="225e9b"/>
          <w:sz w:val="21"/>
          <w:szCs w:val="21"/>
          <w:u w:color="225e9b"/>
          <w:rtl w:val="0"/>
          <w:lang w:val="nl-NL"/>
        </w:rPr>
        <w:t>Lijst van Aa-Therapeuten.</w:t>
      </w:r>
      <w:r>
        <w:rPr>
          <w:lang w:val="nl-NL"/>
        </w:rPr>
        <w:fldChar w:fldCharType="end" w:fldLock="0"/>
      </w:r>
    </w:p>
    <w:p>
      <w:pPr>
        <w:pStyle w:val="Normal.0"/>
        <w:spacing w:before="384" w:after="384" w:line="315" w:lineRule="atLeast"/>
        <w:rPr>
          <w:rStyle w:val="Geen"/>
          <w:rFonts w:ascii="Helvetica" w:cs="Helvetica" w:hAnsi="Helvetica" w:eastAsia="Helvetica"/>
          <w:color w:val="000000"/>
          <w:sz w:val="21"/>
          <w:szCs w:val="21"/>
          <w:u w:color="000000"/>
          <w:lang w:val="nl-NL"/>
        </w:rPr>
      </w:pPr>
      <w:r>
        <w:rPr>
          <w:rStyle w:val="Geen"/>
          <w:rFonts w:ascii="Helvetica" w:hAnsi="Helvetica"/>
          <w:color w:val="000000"/>
          <w:sz w:val="21"/>
          <w:szCs w:val="21"/>
          <w:u w:color="000000"/>
          <w:rtl w:val="0"/>
          <w:lang w:val="nl-NL"/>
        </w:rPr>
        <w:t>Voor 2019 worden de therapeuten ook ingedeeld via het gelaagd CAM-register om zo meer helderheid en duidelijkheid te cre</w:t>
      </w:r>
      <w:r>
        <w:rPr>
          <w:rStyle w:val="Geen"/>
          <w:rFonts w:ascii="Helvetica" w:hAnsi="Helvetica" w:hint="default"/>
          <w:color w:val="000000"/>
          <w:sz w:val="21"/>
          <w:szCs w:val="21"/>
          <w:u w:color="000000"/>
          <w:rtl w:val="0"/>
          <w:lang w:val="nl-NL"/>
        </w:rPr>
        <w:t>ë</w:t>
      </w:r>
      <w:r>
        <w:rPr>
          <w:rStyle w:val="Geen"/>
          <w:rFonts w:ascii="Helvetica" w:hAnsi="Helvetica"/>
          <w:color w:val="000000"/>
          <w:sz w:val="21"/>
          <w:szCs w:val="21"/>
          <w:u w:color="000000"/>
          <w:rtl w:val="0"/>
          <w:lang w:val="nl-NL"/>
        </w:rPr>
        <w:t>ren over de kennis en kunde van een therapeut.</w:t>
      </w:r>
    </w:p>
    <w:p>
      <w:pPr>
        <w:pStyle w:val="Normal.0"/>
        <w:spacing w:before="384" w:after="384" w:line="315" w:lineRule="atLeast"/>
        <w:rPr>
          <w:rStyle w:val="Geen"/>
          <w:rFonts w:ascii="Helvetica" w:cs="Helvetica" w:hAnsi="Helvetica" w:eastAsia="Helvetica"/>
          <w:color w:val="000000"/>
          <w:sz w:val="21"/>
          <w:szCs w:val="21"/>
          <w:u w:color="000000"/>
          <w:lang w:val="nl-NL"/>
        </w:rPr>
      </w:pPr>
      <w:r>
        <w:rPr>
          <w:rStyle w:val="Geen"/>
          <w:rFonts w:ascii="Helvetica" w:hAnsi="Helvetica"/>
          <w:color w:val="000000"/>
          <w:sz w:val="21"/>
          <w:szCs w:val="21"/>
          <w:u w:color="000000"/>
          <w:rtl w:val="0"/>
          <w:lang w:val="nl-NL"/>
        </w:rPr>
        <w:t>Tevens zijn de vergoedingen afhankelijk van het gekozen aanvullende</w:t>
      </w:r>
      <w:r>
        <w:rPr>
          <w:rStyle w:val="Geen"/>
          <w:rFonts w:ascii="Helvetica" w:hAnsi="Helvetica" w:hint="default"/>
          <w:color w:val="000000"/>
          <w:sz w:val="21"/>
          <w:szCs w:val="21"/>
          <w:u w:color="000000"/>
          <w:rtl w:val="0"/>
          <w:lang w:val="nl-NL"/>
        </w:rPr>
        <w:t> </w:t>
      </w:r>
      <w:r>
        <w:rPr>
          <w:rStyle w:val="Geen"/>
          <w:rFonts w:ascii="Helvetica" w:hAnsi="Helvetica"/>
          <w:color w:val="000000"/>
          <w:sz w:val="21"/>
          <w:szCs w:val="21"/>
          <w:u w:color="000000"/>
          <w:rtl w:val="0"/>
          <w:lang w:val="nl-NL"/>
        </w:rPr>
        <w:t>verzekeringspakket. Lees daarom altijd goed de voorwaarden door of neem persoonlijk contact op met uw zorgverzekeraar om teleurstelling te voorkomen.</w:t>
      </w:r>
    </w:p>
    <w:p>
      <w:pPr>
        <w:pStyle w:val="Normal.0"/>
        <w:spacing w:before="384" w:after="384" w:line="315" w:lineRule="atLeast"/>
        <w:rPr>
          <w:rStyle w:val="Geen"/>
          <w:rFonts w:ascii="Helvetica" w:cs="Helvetica" w:hAnsi="Helvetica" w:eastAsia="Helvetica"/>
          <w:color w:val="000000"/>
          <w:sz w:val="21"/>
          <w:szCs w:val="21"/>
          <w:u w:color="000000"/>
          <w:lang w:val="nl-NL"/>
        </w:rPr>
      </w:pPr>
      <w:r>
        <w:rPr>
          <w:rStyle w:val="Geen"/>
          <w:rFonts w:ascii="Helvetica" w:hAnsi="Helvetica"/>
          <w:color w:val="000000"/>
          <w:sz w:val="21"/>
          <w:szCs w:val="21"/>
          <w:u w:color="000000"/>
          <w:rtl w:val="0"/>
          <w:lang w:val="nl-NL"/>
        </w:rPr>
        <w:t xml:space="preserve">Wanneer u op de link klikt achter de zorgverzekering </w:t>
      </w:r>
      <w:r>
        <w:rPr>
          <w:rStyle w:val="Geen"/>
          <w:rFonts w:ascii="Helvetica" w:hAnsi="Helvetica"/>
          <w:i w:val="1"/>
          <w:iCs w:val="1"/>
          <w:color w:val="000000"/>
          <w:sz w:val="21"/>
          <w:szCs w:val="21"/>
          <w:u w:color="000000"/>
          <w:rtl w:val="0"/>
          <w:lang w:val="nl-NL"/>
        </w:rPr>
        <w:t>vergoeding alternatieve geneeswijzen</w:t>
      </w:r>
      <w:r>
        <w:rPr>
          <w:rStyle w:val="Geen"/>
          <w:rFonts w:ascii="Helvetica" w:hAnsi="Helvetica"/>
          <w:color w:val="000000"/>
          <w:sz w:val="21"/>
          <w:szCs w:val="21"/>
          <w:u w:color="000000"/>
          <w:rtl w:val="0"/>
          <w:lang w:val="nl-NL"/>
        </w:rPr>
        <w:t>, wordt u door gestuurd naar de website van de betreffende zorgverzekeraar.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974"/>
        <w:gridCol w:w="3706"/>
        <w:gridCol w:w="2680"/>
      </w:tblGrid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b w:val="1"/>
                <w:bCs w:val="1"/>
                <w:sz w:val="21"/>
                <w:szCs w:val="21"/>
                <w:rtl w:val="0"/>
                <w:lang w:val="en-US"/>
              </w:rPr>
              <w:t>Zorgverzekeraar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b w:val="1"/>
                <w:bCs w:val="1"/>
                <w:sz w:val="21"/>
                <w:szCs w:val="21"/>
                <w:rtl w:val="0"/>
                <w:lang w:val="en-US"/>
              </w:rPr>
              <w:t>Vergoeding Alternatieve geneeswijzen</w:t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b w:val="1"/>
                <w:bCs w:val="1"/>
                <w:sz w:val="21"/>
                <w:szCs w:val="21"/>
                <w:rtl w:val="0"/>
                <w:lang w:val="en-US"/>
              </w:rPr>
              <w:t>Aanvullende informatie</w:t>
            </w:r>
          </w:p>
        </w:tc>
      </w:tr>
      <w:tr>
        <w:tblPrEx>
          <w:shd w:val="clear" w:color="auto" w:fill="d0ddef"/>
        </w:tblPrEx>
        <w:trPr>
          <w:trHeight w:val="870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Delta Lloyd/Nationale Nederlanden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"https://www.nn.nl/Particulier/Zorg/Vergoedingen/Vergoeding-details/alternatieve-geneeswijzen.htm"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niet alle natuurgeneeskundige behandelingen</w:t>
            </w:r>
          </w:p>
        </w:tc>
      </w:tr>
      <w:tr>
        <w:tblPrEx>
          <w:shd w:val="clear" w:color="auto" w:fill="d0ddef"/>
        </w:tblPrEx>
        <w:trPr>
          <w:trHeight w:val="870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CZ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"https://www.cz.nl/vergoedingen/alternatieve-geneeswijzen"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niet alle natuurgeneeskundige behandelingen</w:t>
            </w:r>
          </w:p>
        </w:tc>
      </w:tr>
      <w:tr>
        <w:tblPrEx>
          <w:shd w:val="clear" w:color="auto" w:fill="d0ddef"/>
        </w:tblPrEx>
        <w:trPr>
          <w:trHeight w:val="870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CZdirect.nl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"https://www.cz.nl/vergoedingen/alternatieve-geneeswijzen/erkende-beroepsverenigingen?_ga=2.86088856.1691762606.1505822272-1032194024.1505822153"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niet alle natuurgeneeskundige behandelingen</w:t>
            </w:r>
          </w:p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De Friesland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"https://service.defriesland.nl/Vergoedingen/Paginas/Alternatieve-geneeswijzen.aspx"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o.a. geen massage</w:t>
            </w:r>
          </w:p>
        </w:tc>
      </w:tr>
      <w:tr>
        <w:tblPrEx>
          <w:shd w:val="clear" w:color="auto" w:fill="d0ddef"/>
        </w:tblPrEx>
        <w:trPr>
          <w:trHeight w:val="1254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Kiemer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"https://www.defriesland.nl/Images/Lijst-beroepsverenigingen-DFZ-2018-8705.pdf"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  <w:rPr>
                <w:rStyle w:val="Geen"/>
                <w:rFonts w:ascii="Helvetica" w:cs="Helvetica" w:hAnsi="Helvetica" w:eastAsia="Helvetica"/>
                <w:sz w:val="21"/>
                <w:szCs w:val="21"/>
              </w:rPr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valt onder De Friesland</w:t>
            </w:r>
          </w:p>
          <w:p>
            <w:pPr>
              <w:pStyle w:val="Normal.0"/>
              <w:bidi w:val="0"/>
              <w:spacing w:before="384" w:after="384" w:line="315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o.a. geen massage</w:t>
            </w:r>
          </w:p>
        </w:tc>
      </w:tr>
      <w:tr>
        <w:tblPrEx>
          <w:shd w:val="clear" w:color="auto" w:fill="d0ddef"/>
        </w:tblPrEx>
        <w:trPr>
          <w:trHeight w:val="870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Ohra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"https://www.ohra.nl/images/ohra-zorgverzekering-erkende-beroepsverenigingen-2017_tcm66-227553.pdf"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niet alle natuurgeneeskundige behandelingen</w:t>
            </w:r>
          </w:p>
        </w:tc>
      </w:tr>
      <w:tr>
        <w:tblPrEx>
          <w:shd w:val="clear" w:color="auto" w:fill="d0ddef"/>
        </w:tblPrEx>
        <w:trPr>
          <w:trHeight w:val="1254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Azivo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"https://www.menzis.nl/vergoedingen/a/alternatieve-behandelwijzen-en-geneesmiddelen"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  <w:rPr>
                <w:rStyle w:val="Geen"/>
                <w:rFonts w:ascii="Helvetica" w:cs="Helvetica" w:hAnsi="Helvetica" w:eastAsia="Helvetica"/>
                <w:sz w:val="21"/>
                <w:szCs w:val="21"/>
              </w:rPr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valt onder Menzis</w:t>
            </w:r>
          </w:p>
          <w:p>
            <w:pPr>
              <w:pStyle w:val="Normal.0"/>
              <w:bidi w:val="0"/>
              <w:spacing w:before="384" w:after="384" w:line="315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geen neurofeedback-therapie</w:t>
            </w:r>
          </w:p>
        </w:tc>
      </w:tr>
      <w:tr>
        <w:tblPrEx>
          <w:shd w:val="clear" w:color="auto" w:fill="d0ddef"/>
        </w:tblPrEx>
        <w:trPr>
          <w:trHeight w:val="1254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Anderzorg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"https://www.anderzorg.nl/vergoedingen/a/alternatieve-zorg-2018"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  <w:rPr>
                <w:rStyle w:val="Geen"/>
                <w:rFonts w:ascii="Helvetica" w:cs="Helvetica" w:hAnsi="Helvetica" w:eastAsia="Helvetica"/>
                <w:sz w:val="21"/>
                <w:szCs w:val="21"/>
              </w:rPr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valt onder Menzis</w:t>
            </w:r>
          </w:p>
          <w:p>
            <w:pPr>
              <w:pStyle w:val="Normal.0"/>
              <w:bidi w:val="0"/>
              <w:spacing w:before="384" w:after="384" w:line="315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geen neurofeedback-therapie</w:t>
            </w:r>
          </w:p>
        </w:tc>
      </w:tr>
      <w:tr>
        <w:tblPrEx>
          <w:shd w:val="clear" w:color="auto" w:fill="d0ddef"/>
        </w:tblPrEx>
        <w:trPr>
          <w:trHeight w:val="1254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PMA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"https://www.menzis.nl/vergoedingen/a/alternatieve-behandelwijzen-en-geneesmiddelen"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  <w:rPr>
                <w:rStyle w:val="Geen"/>
                <w:rFonts w:ascii="Helvetica" w:cs="Helvetica" w:hAnsi="Helvetica" w:eastAsia="Helvetica"/>
                <w:sz w:val="21"/>
                <w:szCs w:val="21"/>
              </w:rPr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valt onder Menzis</w:t>
            </w:r>
          </w:p>
          <w:p>
            <w:pPr>
              <w:pStyle w:val="Normal.0"/>
              <w:bidi w:val="0"/>
              <w:spacing w:before="384" w:after="384" w:line="315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geen neurofeedback-therapie</w:t>
            </w:r>
          </w:p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Menzis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"https://www.menzis.nl/vergoedingen/a/alternatieve-behandelwijzen-en-geneesmiddelen"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geen neurofeedback-therapie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ONVZ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"https://www.onvz.nl/vergoedingen/vergoedingen-a-z/alternatieve-geneeswijzen"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Vergoeden op basis van een diploma MBK volgens de PLATO eisen en erkenning beroepsvereniging</w:t>
            </w:r>
          </w:p>
        </w:tc>
      </w:tr>
      <w:tr>
        <w:tblPrEx>
          <w:shd w:val="clear" w:color="auto" w:fill="d0ddef"/>
        </w:tblPrEx>
        <w:trPr>
          <w:trHeight w:val="870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PZP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"https://www.pzp.nl/vergoedingen/alternatieve-geneeswijzen/erkende-beroepsverenigingen"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Let op; vergoeden niet alle natuurgeneeskundige behandelingen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VvAA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"https://www.vvaa.nl/verzekeringen/zorgverzekering/vergoedingenoverzicht"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Vergoeden op basis van een diploma MBK volgens de PLATO eisen en erkenning beroepsvereniging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PNOzorg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"https://www.pnozorg.nl/globalassets/brochures-en-formulieren/2018-brochures-en-formulieren/erkende-beroepsorganisaties-2018-pnozorg.pdf"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nl-NL"/>
              </w:rPr>
              <w:t>Vergoeden op basis van een diploma MBK volgens de PLATO eisen en erkenning beroepsvereniging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Lancyr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 w:hint="default"/>
                <w:sz w:val="21"/>
                <w:szCs w:val="21"/>
                <w:rtl w:val="0"/>
                <w:lang w:val="en-US"/>
              </w:rPr>
              <w:t> </w: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"https://www.lancyr.nl/lancyr-zorgverzekering/alternatieve-geneeswijzen-vergoeding-2018/"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Zorg en Zekerheid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"https://service.zorgenzekerheid.nl/vergoedingenzoeker/alternatieve-zorg"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Alleen BIG geregistreerden</w:t>
            </w:r>
          </w:p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AZVZ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"http://www.scheepvaartnet.nl/?pagina=279&amp;menu=30"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Alleen BIG geregistreerden</w:t>
            </w:r>
          </w:p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DSW Zorgverzekeraar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"https://web.dsw.nl/Consumenten/Vergoedingen/Alternatieve-Geneeswijzen"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Alleen BIG geregistreerden</w:t>
            </w:r>
          </w:p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Stad Holland Zorgverzekeraar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"https://web.stadholland.nl/Consumenten/Vergoedingen/Alternatieve-Geneeswijzen"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Alleen BIG geregistreerden</w:t>
            </w:r>
          </w:p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2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InTwente Zorgverzekeraar</w:t>
            </w:r>
          </w:p>
        </w:tc>
        <w:tc>
          <w:tcPr>
            <w:tcW w:type="dxa" w:w="3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instrText xml:space="preserve"> HYPERLINK "https://web.intwente.nl/Consumenten/Vergoedingen/Alternatieve-geneeswijzen"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225e9b"/>
                <w:sz w:val="21"/>
                <w:szCs w:val="21"/>
                <w:u w:color="225e9b"/>
                <w:lang w:val="en-US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225e9b"/>
                <w:sz w:val="21"/>
                <w:szCs w:val="21"/>
                <w:u w:color="225e9b"/>
                <w:rtl w:val="0"/>
                <w:lang w:val="en-US"/>
              </w:rPr>
              <w:t>Vergoeding Alternatieve geneeswijzen</w:t>
            </w:r>
            <w:r>
              <w:rPr>
                <w:rFonts w:ascii="Helvetica" w:cs="Helvetica" w:hAnsi="Helvetica" w:eastAsia="Helvetica"/>
                <w:sz w:val="21"/>
                <w:szCs w:val="21"/>
              </w:rPr>
              <w:fldChar w:fldCharType="end" w:fldLock="0"/>
            </w:r>
          </w:p>
        </w:tc>
        <w:tc>
          <w:tcPr>
            <w:tcW w:type="dxa" w:w="2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315" w:lineRule="atLeast"/>
            </w:pPr>
            <w:r>
              <w:rPr>
                <w:rStyle w:val="Geen"/>
                <w:rFonts w:ascii="Helvetica" w:hAnsi="Helvetica"/>
                <w:sz w:val="21"/>
                <w:szCs w:val="21"/>
                <w:rtl w:val="0"/>
                <w:lang w:val="en-US"/>
              </w:rPr>
              <w:t>Alleen BIG geregistreerden</w:t>
            </w:r>
          </w:p>
        </w:tc>
      </w:tr>
    </w:tbl>
    <w:p>
      <w:pPr>
        <w:pStyle w:val="Normal.0"/>
        <w:widowControl w:val="0"/>
        <w:spacing w:before="384" w:after="384" w:line="240" w:lineRule="auto"/>
      </w:pPr>
      <w:r>
        <w:rPr>
          <w:rStyle w:val="Geen"/>
          <w:rFonts w:ascii="Helvetica" w:cs="Helvetica" w:hAnsi="Helvetica" w:eastAsia="Helvetica"/>
          <w:color w:val="000000"/>
          <w:sz w:val="21"/>
          <w:szCs w:val="21"/>
          <w:u w:color="000000"/>
          <w:lang w:val="nl-NL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Geen">
    <w:name w:val="Geen"/>
  </w:style>
  <w:style w:type="character" w:styleId="Hyperlink.0">
    <w:name w:val="Hyperlink.0"/>
    <w:basedOn w:val="Geen"/>
    <w:next w:val="Hyperlink.0"/>
    <w:rPr>
      <w:rFonts w:ascii="Times New Roman" w:cs="Times New Roman" w:hAnsi="Times New Roman" w:eastAsia="Times New Roman"/>
      <w:color w:val="225e9b"/>
      <w:sz w:val="21"/>
      <w:szCs w:val="21"/>
      <w:u w:color="225e9b"/>
      <w:lang w:val="nl-NL"/>
    </w:rPr>
  </w:style>
  <w:style w:type="character" w:styleId="Hyperlink.1">
    <w:name w:val="Hyperlink.1"/>
    <w:basedOn w:val="Geen"/>
    <w:next w:val="Hyperlink.1"/>
    <w:rPr>
      <w:rFonts w:ascii="Times New Roman" w:cs="Times New Roman" w:hAnsi="Times New Roman" w:eastAsia="Times New Roman"/>
      <w:color w:val="225e9b"/>
      <w:u w:color="225e9b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